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rPr>
          <w:rFonts w:ascii="Times New Roman" w:hAnsi="Times New Roman" w:eastAsia="Times New Roman" w:cs="Arial"/>
          <w:b/>
          <w:sz w:val="32"/>
          <w:szCs w:val="32"/>
          <w:lang w:bidi="hi-in"/>
        </w:rPr>
      </w:pPr>
      <w:r>
        <w:rPr>
          <w:noProof/>
        </w:rPr>
        <mc:AlternateContent>
          <mc:Choice Requires="wps">
            <w:drawing>
              <wp:anchor distT="0" distB="0" distL="114300" distR="114300" simplePos="0" relativeHeight="251658241" behindDoc="0" locked="0" layoutInCell="0" hidden="0" allowOverlap="1">
                <wp:simplePos x="0" y="0"/>
                <wp:positionH relativeFrom="column">
                  <wp:posOffset>2691765</wp:posOffset>
                </wp:positionH>
                <wp:positionV relativeFrom="paragraph">
                  <wp:posOffset>-424180</wp:posOffset>
                </wp:positionV>
                <wp:extent cx="209550" cy="200025"/>
                <wp:effectExtent l="12700" t="12700" r="12700" b="12700"/>
                <wp:wrapNone/>
                <wp:docPr id="1" name="Dreptunghi: colțuri rotunjite 8"/>
                <wp:cNvGraphicFramePr/>
                <a:graphic xmlns:a="http://schemas.openxmlformats.org/drawingml/2006/main">
                  <a:graphicData uri="http://schemas.microsoft.com/office/word/2010/wordprocessingShape">
                    <wps:wsp>
                      <wps:cNvSpPr>
                        <a:extLst>
                          <a:ext uri="sm">
                            <sm:smNativeData xmlns:sm="sm" val="SMDATA_14_8EmUaRMAAAAlAAAAZQAAAA0AAAAAkAAAAEgAAACQAAAASAAAAAAAAAABAAAAAAAAAAEAAABQAAAAhbacS3FV1T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EAAAAAAAAAAAAAAAAAAAAAAAAAAAAAAAAAAAD///9/AAAAAAAAAAABAAAAf39/AAAAAABkAAAAAAAAABQAAABD4f//AAAAACYAAAAAAAAAvR4AAA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CAAAAeAAAAHgAAAAAAAAAAAAAAAAAAAAkAAAAJAAAAAEAAAAHAAAAAAAAAAAAAAAAAAAAAAAAAAAAAAAAAAAAAAAAACUAAABYAAAAAQAAAAAAAAAAAAAAAAAAAAAAAAAAAAAAAAAAAAAAAAAAAAAAAAAAAAAAAAASAAAAAAAAAKCGAQAAAAAAAAAAAAAAAAAMAAAAAQAAAAAAAAAAAAAAAAAAACEAAABAAAAAPAAAAAAAAAAAoAAAAAAAAAAAAAAAAAAAAgAAAI8QAAABAAAAAgAAAGT9//9KAQAAOwEAAAAAAAAvFgAABAMAACgAAAAIAAAAAQAAAAEAAAA="/>
                          </a:ext>
                        </a:extLst>
                      </wps:cNvSpPr>
                      <wps:spPr>
                        <a:xfrm>
                          <a:off x="0" y="0"/>
                          <a:ext cx="209550" cy="200025"/>
                        </a:xfrm>
                        <a:prstGeom prst="roundRect">
                          <a:avLst>
                            <a:gd name="adj" fmla="val 16667"/>
                          </a:avLst>
                        </a:prstGeom>
                        <a:solidFill>
                          <a:srgbClr val="FFFFFF"/>
                        </a:solidFill>
                        <a:ln w="12700">
                          <a:solidFill>
                            <a:srgbClr val="000000"/>
                          </a:solidFill>
                        </a:ln>
                        <a:scene3d>
                          <a:camera prst="orthographicFront"/>
                          <a:lightRig rig="threePt" dir="t">
                            <a:lvl4pPr lat="0" lon="0" rev="0"/>
                          </a:lightRig>
                        </a:scene3d>
                        <a:sp3d>
                          <a:bevelT w="76200" h="76200" prst="circle"/>
                        </a:sp3d>
                      </wps:spPr>
                      <wps:bodyPr spcFirstLastPara="1" vertOverflow="clip" horzOverflow="clip" lIns="91440" tIns="45720" rIns="91440" bIns="45720" anchor="ctr" upright="1">
                        <a:noAutofit/>
                      </wps:bodyPr>
                    </wps:wsp>
                  </a:graphicData>
                </a:graphic>
              </wp:anchor>
            </w:drawing>
          </mc:Choice>
          <mc:Fallback>
            <w:pict>
              <v:roundrect id="Dreptunghi: colțuri rotunjite 8" o:spid="_x0000_s1026" style="position:absolute;margin-left:211.95pt;margin-top:-33.40pt;width:16.50pt;height:15.75pt;z-index:251658241;mso-wrap-distance-left:9.00pt;mso-wrap-distance-top:0.00pt;mso-wrap-distance-right:9.00pt;mso-wrap-distance-bottom:0.00pt;mso-wrap-style:square" arcsize="10922f" strokeweight="1.00pt" fillcolor="#ffffff" v:ext="SMDATA_14_8EmUaRMAAAAlAAAAZQAAAA0AAAAAkAAAAEgAAACQAAAASAAAAAAAAAABAAAAAAAAAAEAAABQAAAAhbacS3FV1T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EAAAAAAAAAAAAAAAAAAAAAAAAAAAAAAAAAAAD///9/AAAAAAAAAAABAAAAf39/AAAAAABkAAAAAAAAABQAAABD4f//AAAAACYAAAAAAAAAvR4AAA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CAAAAeAAAAHgAAAAAAAAAAAAAAAAAAAAkAAAAJAAAAAEAAAAHAAAAAAAAAAAAAAAAAAAAAAAAAAAAAAAAAAAAAAAAACUAAABYAAAAAQAAAAAAAAAAAAAAAAAAAAAAAAAAAAAAAAAAAAAAAAAAAAAAAAAAAAAAAAASAAAAAAAAAKCGAQAAAAAAAAAAAAAAAAAMAAAAAQAAAAAAAAAAAAAAAAAAACEAAABAAAAAPAAAAAAAAAAAoAAAAAAAAAAAAAAAAAAAAgAAAI8QAAABAAAAAgAAAGT9//9KAQAAOwEAAAAAAAAvFgAABAMAACgAAAAIAAAAAQAAAAEAAAA=">
                <v:fill color2="#000000" type="solid" angle="90"/>
                <o:extrusion on="t" viewpointorigin="0f,0f" viewpoint="0,0,-2147483648" skewangle="0f" skewamt="0%" backdepth="0.00pt" edge="0.00pt" brightness="20000f" lightposition="-9805,0,1961" lightlevel="38000f" lightposition2="9805,0,1961" lightlevel2="38000f"/>
                <w10:wrap type="none" anchorx="text" anchory="text"/>
              </v:roundrect>
            </w:pict>
          </mc:Fallback>
        </mc:AlternateContent>
      </w:r>
      <w:r>
        <w:rPr>
          <w:rFonts w:ascii="Times New Roman" w:hAnsi="Times New Roman" w:eastAsia="Times New Roman" w:cs="Times New Roman"/>
          <w:b/>
          <w:bCs/>
          <w:sz w:val="32"/>
          <w:szCs w:val="32"/>
          <w:lang w:bidi="hi-in"/>
        </w:rPr>
        <w:t>GHID privind exercitarea de către persoanele vizate a drepturilor prevăzute de Regulamentul general privind protecția datelor</w:t>
      </w:r>
      <w:r>
        <w:rPr>
          <w:rFonts w:ascii="Times New Roman" w:hAnsi="Times New Roman" w:eastAsia="Times New Roman" w:cs="Arial"/>
          <w:b/>
          <w:sz w:val="32"/>
          <w:szCs w:val="32"/>
          <w:lang w:bidi="hi-in"/>
        </w:rPr>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r>
    </w:p>
    <w:p>
      <w:pPr>
        <w:rPr>
          <w:rFonts w:ascii="Times New Roman" w:hAnsi="Times New Roman" w:eastAsia="Times New Roman" w:cs="Arial"/>
          <w:sz w:val="32"/>
          <w:szCs w:val="32"/>
          <w:lang w:bidi="hi-in"/>
        </w:rPr>
      </w:pPr>
      <w:r>
        <w:rPr>
          <w:rFonts w:ascii="Times New Roman" w:hAnsi="Times New Roman" w:eastAsia="Times New Roman" w:cs="Times New Roman"/>
          <w:sz w:val="32"/>
          <w:szCs w:val="32"/>
          <w:lang w:bidi="hi-in"/>
        </w:rPr>
        <w:t>La data de 27 aprilie 2016 a fost aprobat Regulamentul (UE) 2016/679 al Parlamentului European și al Consiliului privind protecția persoanelor fizice in ceea ce privește prelucrarea datelor cu caracter personal și privind libera circulație a acestor date și de abrogare a Directivei 95/46/CE, un instrument juridic ce se înscrie în noua politică europeană de a crește gradul de integrare a statelor membre și de creare, dezvoltare și consolidare a unor mecanisme și instrumente comunitare unitare care să contribuie la protejarea efectivă a drepturilor, libertăților și intereselor persoanelor, în condiții de egalitate, legalitate și nediscriminare pe tot cuprinsul spațiului comunitar.</w:t>
      </w:r>
      <w:r>
        <w:rPr>
          <w:rFonts w:ascii="Times New Roman" w:hAnsi="Times New Roman" w:eastAsia="Times New Roman" w:cs="Arial"/>
          <w:sz w:val="32"/>
          <w:szCs w:val="32"/>
          <w:lang w:bidi="hi-in"/>
        </w:rPr>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În prezent, cadrul normativ național este asigurat de Legea nr. 129 din 15 iunie 2018 pentru modificarea şi completarea Legii nr. 102/2005 privind înfiinţarea, organizarea şi funcţionarea Autorităţii Naţionale de Supraveghere a Prelucrării Datelor cu Caracter Personal, precum şi pentru abrogarea Legii nr. 677/2001 pentru protecţia persoanelor cu privire la prelucrarea datelor cu caracter personal şi libera circulaţie a acestor date - și 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pPr>
        <w:rPr>
          <w:rFonts w:ascii="Liberation Serif" w:hAnsi="Liberation Serif" w:eastAsia="Liberation Serif" w:cs="Arial"/>
          <w:sz w:val="32"/>
          <w:szCs w:val="32"/>
          <w:lang w:bidi="hi-in"/>
        </w:rPr>
      </w:pPr>
      <w:r>
        <w:rPr>
          <w:rFonts w:ascii="Times New Roman" w:hAnsi="Times New Roman" w:eastAsia="Times New Roman" w:cs="Times New Roman"/>
          <w:sz w:val="32"/>
          <w:szCs w:val="32"/>
          <w:lang w:bidi="hi-in"/>
        </w:rPr>
        <w:t>Cadrul normativ conține prevederi care garantează o serie de drepturi persoanelor fizice, în contextul prelucrării datelor cu caracter personal și stabilește principalele coordonate prin care se asigură protejarea datelor cu caracter personal, pe categorii de date, stabilindu-se, în mod expres, și excepțiile de la regula generală de protejare a acestora.</w:t>
      </w:r>
      <w:r>
        <w:rPr>
          <w:rFonts w:ascii="Liberation Serif" w:hAnsi="Liberation Serif" w:eastAsia="Liberation Serif" w:cs="Arial"/>
          <w:sz w:val="32"/>
          <w:szCs w:val="32"/>
          <w:lang w:bidi="hi-in"/>
        </w:rPr>
      </w:r>
    </w:p>
    <w:p>
      <w:pPr>
        <w:rPr>
          <w:rFonts w:ascii="Times New Roman" w:hAnsi="Times New Roman" w:eastAsia="Times New Roman"/>
          <w:sz w:val="32"/>
          <w:szCs w:val="32"/>
          <w:lang w:bidi="hi-in"/>
        </w:rPr>
      </w:pPr>
      <w:r>
        <w:rPr>
          <w:rFonts w:ascii="Times New Roman" w:hAnsi="Times New Roman" w:eastAsia="Times New Roman"/>
          <w:sz w:val="32"/>
          <w:szCs w:val="32"/>
          <w:lang w:bidi="hi-in"/>
        </w:rPr>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Principalele domenii reglementate vizează stabilirea regulilor generale privind prelucrarea datelor cu caracter personal, avându-se în vedere atât caracteristicile acestora cât și condițiile de legitimitate în ceea ce privește gestionarea lor. De asemenea, se reglementează regulile speciale privind prelucrarea datelor cu caracter personal, drepturile persoanelor în contextul prelucrării datelor lor, cerințe specifice privind asigurarea confidențialității și a securității activităților care implică gestionarea acestor date și mecanismele și instrumentele instituționale de asigurare a respectării prevederilor legale în vigoare.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Centrul Național de Artă "Tinerimea Română", în calitate de operator de date cu caracter personal, trebuie să respecte prevederile Regulamentului UE 679/2016 și să-și protejeze datele deținute cu privire la persoanele fizice, prin implementarea de măsuri tehnice și organizatorice corespunzătoare, astfel încât să se asigure securitatea adecvată a datelor cu caracter personal, inclusiv împotriva prelucrării neautorizate sau ilegale și a pierderii, a distrugerii sau a deteriorării accidentale.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În sensul Regulamentului general privind protecția datelor, următorii termeni se definesc astfel: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 "date cu caracter personal" înseamnă orice informaţii privind o persoană fizică identificată sau identificabilă ("persoana vizată"); o persoană fizică identificabilă este o persoană care poate fi identificată, direct sau indirect, în special prin referire la un element 2 de identificare, cum ar fi un nume, un număr de identificare, date de localizare, un identificator online, sau la unul sau mai multe elemente specifice, proprii identităţii sale fizice, fiziologice, genetice, psihice, economice, culturale sau sociale;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 "prelucrare"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"operator" înseamnă persoana fizică sau juridică, autoritatea publică, agenţia sau alt organism care, singur sau împreună cu altele, stabileşte scopurile şi mijloacele de prelucrare a datelor cu caracter personal; atunci când scopurile şi mijloacele prelucrării sunt stabilite prin dreptul Uniunii sau dreptul intern, operatorul sau criteriile specifice pentru desemnarea acestuia pot fi prevăzute în dreptul Uniunii sau în dreptul intern;</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 - "destinatar" înseamnă persoana fizică sau juridică, autoritatea publică, agenţia sau alt organism căreia (căruia) îi sunt divulgate datele cu caracter personal, indiferent dacă este sau nu o parte terţă.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Cu toate acestea, autorităţile publice cărora li se pot comunica date cu caracter personal în cadrul unei anumite anchete în conformitate cu dreptul Uniunii sau cu dreptul intern nu sunt considerate destinatari; prelucrarea acestor date de către autorităţile publice respective respectă normele aplicabile în materie de protecţie a datelor, în conformitate cu scopurile prelucrării;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Potrivit dispozițiilor Regulamentului nr. 679/2016 (Regulamentul general privind protecția datelor) persoana vizată are următoarele drepturi:</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 o dreptul de acces;</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 o dreptul la rectificare;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o dreptul la ștergerea datelor (″dreptul de a fi uitat″);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o dreptul la restricționarea prelucrării;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o dreptul la portabilitatea datelor;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o dreptul la opoziție;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o dreptul de a nu face obiectul unei decizii bazate exclusiv pe prelucrarea automată, inclusiv crearea de profiluri.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Pentru exercitarea drepturilor prevăzute de Regulamentul general privind protecția datelor persoana vizată trebuie să transmită a cerere întocmită în formă scrisă, datată și semnată la adresa: Centrul Național de Artă "Tinerimea Română" - Municipiul Bucuresti, Strada Gutenberg Johann, nr. 19, Sector 5</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 - www.tinerimearomana.ro - e-mail: contact@tinerimearomana.ro sau poate depune cererea personal la sediul Centrul Național de Artă "Tinerimea Română".</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 În situația depunerii cererii la sediul Centrul Național de Artă "Tinerimea Română" personalul cu atribuții în acest sens va lua măsurile necesare soluționării în termen a sesizării persoanei vizate.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Pentru a facilita exercitarea drepturilor prevăzute de Regulamentul general privind protecția datelor persoana vizată are la dispoziție modele de cereri în acest sens (Cereri privind exercitare drepturi).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Pentru informaţii suplimentare puteţi contacta Responsabilul cu protecția datelor la numărul de telefon +4021-315.81.65, sau la adresa de e-mail: contact@tinerimearomana.ro .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Persoanele vizate nemulțumite de răspunsul formulat la cererea având ca obiect exercitarea unui drept prevăzut de Regulamentul general privind protecția datelor, pot înainta plângere către Autoritatea Naţională de Supraveghere a Prelucrării Datelor cu Caracter Personal la sediul acesteia din B-dul G-ral Gheorghe Magheru nr. 28-30, sector1, București, cod poștal 0103336, e-mail: anspdcp@dataprotection.ro </w:t>
      </w:r>
    </w:p>
    <w:p>
      <w:pPr>
        <w:rPr>
          <w:rFonts w:ascii="Times New Roman" w:hAnsi="Times New Roman" w:eastAsia="Times New Roman" w:cs="Times New Roman"/>
          <w:b/>
          <w:bCs/>
          <w:sz w:val="32"/>
          <w:szCs w:val="32"/>
          <w:lang w:bidi="hi-in"/>
        </w:rPr>
      </w:pPr>
      <w:r>
        <w:rPr>
          <w:rFonts w:ascii="Times New Roman" w:hAnsi="Times New Roman" w:eastAsia="Times New Roman" w:cs="Times New Roman"/>
          <w:b/>
          <w:bCs/>
          <w:sz w:val="32"/>
          <w:szCs w:val="32"/>
          <w:lang w:bidi="hi-in"/>
        </w:rPr>
        <w:t xml:space="preserve">Transparența informațiilor, a comunicărilor și a modalităților de exercitare a drepturilor persoanei vizate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Cererile adresate Centrul Național de Artă "Tinerimea Română" vor fi analizate de către Responsabilul cu protecția datelor, desemnat la nivelul instituției, în colaborare cu departamentele care sunt implicate în operațiunile de prelucrare a datelor cu caracter personal.</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 Răspunsul la cererea persoanei vizate va fi formulat în cel mult 30 de zile de la primirea cererii. Această perioadă poate fi prelungită cu două luni atunci când este necesar, ținându-se seama de complexitatea și numărul cererilor.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Persoana vizată va fi informată cu privire la orice astfel de prelungire, în termen de 30 de zile de la primirea cererii, prezentându-i-se și motivele întârzierii. În cazul în care persoana vizată introduce o cerere în format electronic, informațiile sunt furnizate în format electronic acolo unde este posibil, cu excepția cazului în care persoana vizată solicită un alt format.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Solicitantul poate preciza în cerere dacă doreşte ca informaţiile să îi fie comunicate la o anumită adresă, care poate fi şi de poştă electronică, sau printr-un serviciu de corespondentă care să asigure că predarea i se va face numai personal.</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 În cazul în care cererea se depune prin reprezentant, trebuie comunicate datele de identitate ale acestuia, precum şi împuternicirea dată în acest sens.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În cazul în care cererile din partea unei persoane vizate sunt în mod vădit nefondate sau excesive, în special din cauza caracterului lor repetitiv, Centrul Național de Artă "Tinerimea Română" poate:</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 fie să perceapă o taxă rezonabilă ținând cont de costurile administrative pentru furnizarea informațiilor sau a comunicării sau pentru luarea măsurilor solicitate;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 xml:space="preserve">- fie să refuze să dea curs cererii. </w:t>
      </w:r>
    </w:p>
    <w:p>
      <w:pPr>
        <w:rPr>
          <w:rFonts w:ascii="Times New Roman" w:hAnsi="Times New Roman" w:eastAsia="Times New Roman" w:cs="Times New Roman"/>
          <w:sz w:val="32"/>
          <w:szCs w:val="32"/>
          <w:lang w:bidi="hi-in"/>
        </w:rPr>
      </w:pPr>
      <w:r>
        <w:rPr>
          <w:rFonts w:ascii="Times New Roman" w:hAnsi="Times New Roman" w:eastAsia="Times New Roman" w:cs="Times New Roman"/>
          <w:sz w:val="32"/>
          <w:szCs w:val="32"/>
          <w:lang w:bidi="hi-in"/>
        </w:rPr>
        <w:t>În cazul în care are îndoieli întemeiate cu privire la identitatea persoanei fizice care înaintează cererea având ca obiect exercitarea unuia din drepturile menționate, Centrul Național de Artă "Tinerimea Română" poate solicita furnizarea de informații suplimentare necesare pentru a confirma identitatea persoanei vizate.</w:t>
      </w:r>
    </w:p>
    <w:sectPr>
      <w:footnotePr>
        <w:pos w:val="pageBottom"/>
        <w:numFmt w:val="decimal"/>
        <w:numStart w:val="1"/>
        <w:numRestart w:val="continuous"/>
      </w:footnotePr>
      <w:endnotePr>
        <w:pos w:val="docEnd"/>
        <w:numFmt w:val="lowerRoman"/>
        <w:numStart w:val="1"/>
        <w:numRestart w:val="continuous"/>
      </w:endnotePr>
      <w:footerReference w:type="default" r:id="rId8"/>
      <w:type w:val="nextPage"/>
      <w:pgSz w:h="16838" w:w="11906"/>
      <w:pgMar w:left="1440" w:top="1440" w:right="1440" w:bottom="1440" w:header="0" w:footer="708"/>
      <w:paperSrc w:first="0" w:other="0" a="0" b="0"/>
      <w:pgNumType w:fmt="decimal"/>
      <w:tmGutter w:val="3"/>
      <w:mirrorMargins w:val="0"/>
      <w:tmSection w:h="-2">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Arial">
    <w:panose1 w:val="020B0604020202020204"/>
    <w:charset w:val="00"/>
    <w:family w:val="swiss"/>
    <w:pitch w:val="default"/>
  </w:font>
  <w:font w:name="Calibri">
    <w:panose1 w:val="020F0502020204030204"/>
    <w:charset w:val="00"/>
    <w:family w:val="swiss"/>
    <w:pitch w:val="default"/>
  </w:font>
  <w:font w:name="Segoe UI">
    <w:panose1 w:val="020B0502040204020203"/>
    <w:charset w:val="00"/>
    <w:family w:val="swiss"/>
    <w:pitch w:val="default"/>
  </w:font>
  <w:font w:name="Liberation Serif">
    <w:panose1 w:val="020206030504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pP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2">
    <w:multiLevelType w:val="hybridMultilevel"/>
    <w:name w:val="Numbered list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3">
    <w:multiLevelType w:val="hybridMultilevel"/>
    <w:name w:val="Numbered list 3"/>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4">
    <w:multiLevelType w:val="hybridMultilevel"/>
    <w:name w:val="Numbered list 4"/>
    <w:lvl w:ilvl="0">
      <w:start w:val="1"/>
      <w:numFmt w:val="lowerLetter"/>
      <w:suff w:val="tab"/>
      <w:lvlText w:val="%1)"/>
      <w:lvlJc w:val="left"/>
      <w:pPr>
        <w:ind w:left="1494" w:hanging="0"/>
      </w:pPr>
    </w:lvl>
    <w:lvl w:ilvl="1">
      <w:start w:val="1"/>
      <w:numFmt w:val="lowerLetter"/>
      <w:suff w:val="tab"/>
      <w:lvlText w:val="%2."/>
      <w:lvlJc w:val="left"/>
      <w:pPr>
        <w:ind w:left="2214" w:hanging="0"/>
      </w:pPr>
    </w:lvl>
    <w:lvl w:ilvl="2">
      <w:start w:val="1"/>
      <w:numFmt w:val="lowerRoman"/>
      <w:suff w:val="tab"/>
      <w:lvlText w:val="%3."/>
      <w:lvlJc w:val="right"/>
      <w:pPr>
        <w:ind w:left="3114" w:hanging="0"/>
      </w:pPr>
    </w:lvl>
    <w:lvl w:ilvl="3">
      <w:start w:val="1"/>
      <w:numFmt w:val="decimal"/>
      <w:suff w:val="tab"/>
      <w:lvlText w:val="%4."/>
      <w:lvlJc w:val="left"/>
      <w:pPr>
        <w:ind w:left="3654" w:hanging="0"/>
      </w:pPr>
    </w:lvl>
    <w:lvl w:ilvl="4">
      <w:start w:val="1"/>
      <w:numFmt w:val="lowerLetter"/>
      <w:suff w:val="tab"/>
      <w:lvlText w:val="%5."/>
      <w:lvlJc w:val="left"/>
      <w:pPr>
        <w:ind w:left="4374" w:hanging="0"/>
      </w:pPr>
    </w:lvl>
    <w:lvl w:ilvl="5">
      <w:start w:val="1"/>
      <w:numFmt w:val="lowerRoman"/>
      <w:suff w:val="tab"/>
      <w:lvlText w:val="%6."/>
      <w:lvlJc w:val="right"/>
      <w:pPr>
        <w:ind w:left="5274" w:hanging="0"/>
      </w:pPr>
    </w:lvl>
    <w:lvl w:ilvl="6">
      <w:start w:val="1"/>
      <w:numFmt w:val="decimal"/>
      <w:suff w:val="tab"/>
      <w:lvlText w:val="%7."/>
      <w:lvlJc w:val="left"/>
      <w:pPr>
        <w:ind w:left="5814" w:hanging="0"/>
      </w:pPr>
    </w:lvl>
    <w:lvl w:ilvl="7">
      <w:start w:val="1"/>
      <w:numFmt w:val="lowerLetter"/>
      <w:suff w:val="tab"/>
      <w:lvlText w:val="%8."/>
      <w:lvlJc w:val="left"/>
      <w:pPr>
        <w:ind w:left="6534" w:hanging="0"/>
      </w:pPr>
    </w:lvl>
    <w:lvl w:ilvl="8">
      <w:start w:val="1"/>
      <w:numFmt w:val="lowerRoman"/>
      <w:suff w:val="tab"/>
      <w:lvlText w:val="%9."/>
      <w:lvlJc w:val="right"/>
      <w:pPr>
        <w:ind w:left="7434" w:hanging="0"/>
      </w:pPr>
    </w:lvl>
  </w:abstractNum>
  <w:abstractNum w:abstractNumId="5">
    <w:multiLevelType w:val="hybridMultilevel"/>
    <w:name w:val="Numbered list 5"/>
    <w:lvl w:ilvl="0">
      <w:start w:val="1"/>
      <w:numFmt w:val="decimal"/>
      <w:suff w:val="tab"/>
      <w:lvlText w:val="%1.0."/>
      <w:lvlJc w:val="left"/>
      <w:pPr>
        <w:ind w:left="0" w:hanging="0"/>
      </w:pPr>
    </w:lvl>
    <w:lvl w:ilvl="1">
      <w:start w:val="1"/>
      <w:numFmt w:val="decimal"/>
      <w:suff w:val="tab"/>
      <w:lvlText w:val="%1.%2."/>
      <w:lvlJc w:val="left"/>
      <w:pPr>
        <w:ind w:left="708" w:hanging="0"/>
      </w:pPr>
    </w:lvl>
    <w:lvl w:ilvl="2">
      <w:start w:val="1"/>
      <w:numFmt w:val="decimal"/>
      <w:suff w:val="tab"/>
      <w:lvlText w:val="%1.%2.%3."/>
      <w:lvlJc w:val="left"/>
      <w:pPr>
        <w:ind w:left="1416" w:hanging="0"/>
      </w:pPr>
    </w:lvl>
    <w:lvl w:ilvl="3">
      <w:start w:val="1"/>
      <w:numFmt w:val="decimal"/>
      <w:suff w:val="tab"/>
      <w:lvlText w:val="(%4)"/>
      <w:lvlJc w:val="left"/>
      <w:pPr>
        <w:ind w:left="2124" w:hanging="0"/>
      </w:pPr>
    </w:lvl>
    <w:lvl w:ilvl="4">
      <w:start w:val="1"/>
      <w:numFmt w:val="decimal"/>
      <w:suff w:val="tab"/>
      <w:lvlText w:val="%1.%2.%3.%4.%5."/>
      <w:lvlJc w:val="left"/>
      <w:pPr>
        <w:ind w:left="2832" w:hanging="0"/>
      </w:pPr>
    </w:lvl>
    <w:lvl w:ilvl="5">
      <w:start w:val="1"/>
      <w:numFmt w:val="decimal"/>
      <w:suff w:val="tab"/>
      <w:lvlText w:val="%1.%2.%3.%4.%5.%6."/>
      <w:lvlJc w:val="left"/>
      <w:pPr>
        <w:ind w:left="3540" w:hanging="0"/>
      </w:pPr>
    </w:lvl>
    <w:lvl w:ilvl="6">
      <w:start w:val="1"/>
      <w:numFmt w:val="decimal"/>
      <w:suff w:val="tab"/>
      <w:lvlText w:val="%1.%2.%3.%4.%5.%6.%7."/>
      <w:lvlJc w:val="left"/>
      <w:pPr>
        <w:ind w:left="4248" w:hanging="0"/>
      </w:pPr>
    </w:lvl>
    <w:lvl w:ilvl="7">
      <w:start w:val="1"/>
      <w:numFmt w:val="decimal"/>
      <w:suff w:val="tab"/>
      <w:lvlText w:val="%1.%2.%3.%4.%5.%6.%7.%8."/>
      <w:lvlJc w:val="left"/>
      <w:pPr>
        <w:ind w:left="4956" w:hanging="0"/>
      </w:pPr>
    </w:lvl>
    <w:lvl w:ilvl="8">
      <w:start w:val="1"/>
      <w:numFmt w:val="decimal"/>
      <w:suff w:val="tab"/>
      <w:lvlText w:val="%1.%2.%3.%4.%5.%6.%7.%8.%9."/>
      <w:lvlJc w:val="left"/>
      <w:pPr>
        <w:ind w:left="5664" w:hanging="0"/>
      </w:pPr>
    </w:lvl>
  </w:abstractNum>
  <w:abstractNum w:abstractNumId="6">
    <w:multiLevelType w:val="hybridMultilevel"/>
    <w:name w:val="Numbered list 6"/>
    <w:lvl w:ilvl="0">
      <w:start w:val="1"/>
      <w:numFmt w:val="upperRoman"/>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7">
    <w:multiLevelType w:val="hybridMultilevel"/>
    <w:name w:val="Numbered list 7"/>
    <w:lvl w:ilvl="0">
      <w:start w:val="1"/>
      <w:numFmt w:val="decimal"/>
      <w:suff w:val="tab"/>
      <w:lvlText w:val="%1.0."/>
      <w:lvlJc w:val="left"/>
      <w:pPr>
        <w:ind w:left="0" w:hanging="0"/>
      </w:pPr>
    </w:lvl>
    <w:lvl w:ilvl="1">
      <w:start w:val="1"/>
      <w:numFmt w:val="decimal"/>
      <w:suff w:val="tab"/>
      <w:lvlText w:val="%1.%2."/>
      <w:lvlJc w:val="left"/>
      <w:pPr>
        <w:ind w:left="708" w:hanging="0"/>
      </w:pPr>
    </w:lvl>
    <w:lvl w:ilvl="2">
      <w:start w:val="1"/>
      <w:numFmt w:val="decimal"/>
      <w:suff w:val="tab"/>
      <w:lvlText w:val="%1.%2.%3."/>
      <w:lvlJc w:val="left"/>
      <w:pPr>
        <w:ind w:left="1416" w:hanging="0"/>
      </w:pPr>
    </w:lvl>
    <w:lvl w:ilvl="3">
      <w:start w:val="1"/>
      <w:numFmt w:val="lowerLetter"/>
      <w:suff w:val="tab"/>
      <w:lvlText w:val="%4)"/>
      <w:lvlJc w:val="left"/>
      <w:pPr>
        <w:ind w:left="2124" w:hanging="0"/>
      </w:pPr>
    </w:lvl>
    <w:lvl w:ilvl="4">
      <w:start w:val="1"/>
      <w:numFmt w:val="decimal"/>
      <w:suff w:val="tab"/>
      <w:lvlText w:val="%1.%2.%3.%4.%5."/>
      <w:lvlJc w:val="left"/>
      <w:pPr>
        <w:ind w:left="2832" w:hanging="0"/>
      </w:pPr>
    </w:lvl>
    <w:lvl w:ilvl="5">
      <w:start w:val="1"/>
      <w:numFmt w:val="decimal"/>
      <w:suff w:val="tab"/>
      <w:lvlText w:val="%1.%2.%3.%4.%5.%6."/>
      <w:lvlJc w:val="left"/>
      <w:pPr>
        <w:ind w:left="3540" w:hanging="0"/>
      </w:pPr>
    </w:lvl>
    <w:lvl w:ilvl="6">
      <w:start w:val="1"/>
      <w:numFmt w:val="decimal"/>
      <w:suff w:val="tab"/>
      <w:lvlText w:val="%1.%2.%3.%4.%5.%6.%7."/>
      <w:lvlJc w:val="left"/>
      <w:pPr>
        <w:ind w:left="4248" w:hanging="0"/>
      </w:pPr>
    </w:lvl>
    <w:lvl w:ilvl="7">
      <w:start w:val="1"/>
      <w:numFmt w:val="decimal"/>
      <w:suff w:val="tab"/>
      <w:lvlText w:val="%1.%2.%3.%4.%5.%6.%7.%8."/>
      <w:lvlJc w:val="left"/>
      <w:pPr>
        <w:ind w:left="4956" w:hanging="0"/>
      </w:pPr>
    </w:lvl>
    <w:lvl w:ilvl="8">
      <w:start w:val="1"/>
      <w:numFmt w:val="decimal"/>
      <w:suff w:val="tab"/>
      <w:lvlText w:val="%1.%2.%3.%4.%5.%6.%7.%8.%9."/>
      <w:lvlJc w:val="left"/>
      <w:pPr>
        <w:ind w:left="5664" w:hanging="0"/>
      </w:pPr>
    </w:lvl>
  </w:abstractNum>
  <w:abstractNum w:abstractNumId="8">
    <w:multiLevelType w:val="hybridMultilevel"/>
    <w:name w:val="Numbered list 8"/>
    <w:lvl w:ilvl="0">
      <w:start w:val="1"/>
      <w:numFmt w:val="decimal"/>
      <w:suff w:val="tab"/>
      <w:lvlText w:val="%1.0."/>
      <w:lvlJc w:val="left"/>
      <w:pPr>
        <w:ind w:left="0" w:hanging="0"/>
      </w:pPr>
    </w:lvl>
    <w:lvl w:ilvl="1">
      <w:start w:val="1"/>
      <w:numFmt w:val="decimal"/>
      <w:suff w:val="tab"/>
      <w:lvlText w:val="%1.%2."/>
      <w:lvlJc w:val="left"/>
      <w:pPr>
        <w:ind w:left="708" w:hanging="0"/>
      </w:pPr>
    </w:lvl>
    <w:lvl w:ilvl="2">
      <w:start w:val="1"/>
      <w:numFmt w:val="decimal"/>
      <w:suff w:val="tab"/>
      <w:lvlText w:val="%1.%2.%3."/>
      <w:lvlJc w:val="left"/>
      <w:pPr>
        <w:ind w:left="1416" w:hanging="0"/>
      </w:pPr>
    </w:lvl>
    <w:lvl w:ilvl="3">
      <w:start w:val="1"/>
      <w:numFmt w:val="decimal"/>
      <w:suff w:val="tab"/>
      <w:lvlText w:val="%1.%2.%3.%4."/>
      <w:lvlJc w:val="left"/>
      <w:pPr>
        <w:ind w:left="2124" w:hanging="0"/>
      </w:pPr>
    </w:lvl>
    <w:lvl w:ilvl="4">
      <w:start w:val="1"/>
      <w:numFmt w:val="decimal"/>
      <w:suff w:val="tab"/>
      <w:lvlText w:val="%1.%2.%3.%4.%5."/>
      <w:lvlJc w:val="left"/>
      <w:pPr>
        <w:ind w:left="2832" w:hanging="0"/>
      </w:pPr>
    </w:lvl>
    <w:lvl w:ilvl="5">
      <w:start w:val="1"/>
      <w:numFmt w:val="decimal"/>
      <w:suff w:val="tab"/>
      <w:lvlText w:val="%1.%2.%3.%4.%5.%6."/>
      <w:lvlJc w:val="left"/>
      <w:pPr>
        <w:ind w:left="3540" w:hanging="0"/>
      </w:pPr>
    </w:lvl>
    <w:lvl w:ilvl="6">
      <w:start w:val="1"/>
      <w:numFmt w:val="decimal"/>
      <w:suff w:val="tab"/>
      <w:lvlText w:val="%1.%2.%3.%4.%5.%6.%7."/>
      <w:lvlJc w:val="left"/>
      <w:pPr>
        <w:ind w:left="4248" w:hanging="0"/>
      </w:pPr>
    </w:lvl>
    <w:lvl w:ilvl="7">
      <w:start w:val="1"/>
      <w:numFmt w:val="decimal"/>
      <w:suff w:val="tab"/>
      <w:lvlText w:val="%1.%2.%3.%4.%5.%6.%7.%8."/>
      <w:lvlJc w:val="left"/>
      <w:pPr>
        <w:ind w:left="4956" w:hanging="0"/>
      </w:pPr>
    </w:lvl>
    <w:lvl w:ilvl="8">
      <w:start w:val="1"/>
      <w:numFmt w:val="decimal"/>
      <w:suff w:val="tab"/>
      <w:lvlText w:val="%1.%2.%3.%4.%5.%6.%7.%8.%9."/>
      <w:lvlJc w:val="left"/>
      <w:pPr>
        <w:ind w:left="5664" w:hanging="0"/>
      </w:pPr>
    </w:lvl>
  </w:abstractNum>
  <w:abstractNum w:abstractNumId="9">
    <w:multiLevelType w:val="hybridMultilevel"/>
    <w:name w:val="Numbered list 9"/>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0">
    <w:multiLevelType w:val="hybridMultilevel"/>
    <w:name w:val="Numbered list 10"/>
    <w:lvl w:ilvl="0">
      <w:start w:val="1"/>
      <w:numFmt w:val="decimal"/>
      <w:suff w:val="tab"/>
      <w:lvlText w:val="%1."/>
      <w:lvlJc w:val="left"/>
      <w:pPr>
        <w:ind w:left="360" w:hanging="0"/>
      </w:pPr>
    </w:lvl>
    <w:lvl w:ilvl="1">
      <w:start w:val="1"/>
      <w:numFmt w:val="decimal"/>
      <w:suff w:val="tab"/>
      <w:lvlText w:val="%1.%2."/>
      <w:lvlJc w:val="left"/>
      <w:pPr>
        <w:ind w:left="360" w:hanging="0"/>
      </w:pPr>
    </w:lvl>
    <w:lvl w:ilvl="2">
      <w:start w:val="1"/>
      <w:numFmt w:val="decimal"/>
      <w:suff w:val="tab"/>
      <w:lvlText w:val="%1.%2.%3."/>
      <w:lvlJc w:val="left"/>
      <w:pPr>
        <w:ind w:left="360" w:hanging="0"/>
      </w:pPr>
    </w:lvl>
    <w:lvl w:ilvl="3">
      <w:start w:val="1"/>
      <w:numFmt w:val="decimal"/>
      <w:suff w:val="tab"/>
      <w:lvlText w:val="%1.%2.%3.%4."/>
      <w:lvlJc w:val="left"/>
      <w:pPr>
        <w:ind w:left="360" w:hanging="0"/>
      </w:pPr>
    </w:lvl>
    <w:lvl w:ilvl="4">
      <w:start w:val="1"/>
      <w:numFmt w:val="decimal"/>
      <w:suff w:val="tab"/>
      <w:lvlText w:val="%1.%2.%3.%4.%5."/>
      <w:lvlJc w:val="left"/>
      <w:pPr>
        <w:ind w:left="360" w:hanging="0"/>
      </w:pPr>
    </w:lvl>
    <w:lvl w:ilvl="5">
      <w:start w:val="1"/>
      <w:numFmt w:val="decimal"/>
      <w:suff w:val="tab"/>
      <w:lvlText w:val="%1.%2.%3.%4.%5.%6."/>
      <w:lvlJc w:val="left"/>
      <w:pPr>
        <w:ind w:left="360" w:hanging="0"/>
      </w:pPr>
    </w:lvl>
    <w:lvl w:ilvl="6">
      <w:start w:val="1"/>
      <w:numFmt w:val="decimal"/>
      <w:suff w:val="tab"/>
      <w:lvlText w:val="%1.%2.%3.%4.%5.%6.%7."/>
      <w:lvlJc w:val="left"/>
      <w:pPr>
        <w:ind w:left="360" w:hanging="0"/>
      </w:pPr>
    </w:lvl>
    <w:lvl w:ilvl="7">
      <w:start w:val="1"/>
      <w:numFmt w:val="decimal"/>
      <w:suff w:val="tab"/>
      <w:lvlText w:val="%1.%2.%3.%4.%5.%6.%7.%8."/>
      <w:lvlJc w:val="left"/>
      <w:pPr>
        <w:ind w:left="360" w:hanging="0"/>
      </w:pPr>
    </w:lvl>
    <w:lvl w:ilvl="8">
      <w:start w:val="1"/>
      <w:numFmt w:val="decimal"/>
      <w:suff w:val="tab"/>
      <w:lvlText w:val="%1.%2.%3.%4.%5.%6.%7.%8.%9."/>
      <w:lvlJc w:val="left"/>
      <w:pPr>
        <w:ind w:left="360" w:hanging="0"/>
      </w:pPr>
    </w:lvl>
  </w:abstractNum>
  <w:abstractNum w:abstractNumId="11">
    <w:multiLevelType w:val="hybridMultilevel"/>
    <w:name w:val="Numbered list 11"/>
    <w:lvl w:ilvl="0">
      <w:numFmt w:val="bullet"/>
      <w:suff w:val="tab"/>
      <w:lvlText w:val=""/>
      <w:lvlJc w:val="left"/>
      <w:pPr>
        <w:ind w:left="360" w:hanging="0"/>
      </w:pPr>
      <w:rPr>
        <w:rFonts w:ascii="Symbol" w:hAnsi="Symbol"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2">
    <w:multiLevelType w:val="hybridMultilevel"/>
    <w:name w:val="Numbered list 1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3">
    <w:multiLevelType w:val="hybridMultilevel"/>
    <w:name w:val="Numbered list 13"/>
    <w:lvl w:ilvl="0">
      <w:numFmt w:val="bullet"/>
      <w:suff w:val="tab"/>
      <w:lvlText w:val=""/>
      <w:lvlJc w:val="left"/>
      <w:pPr>
        <w:ind w:left="360" w:hanging="0"/>
      </w:pPr>
      <w:rPr>
        <w:rFonts w:ascii="Wingdings" w:hAnsi="Wingdings"/>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14">
    <w:multiLevelType w:val="hybridMultilevel"/>
    <w:name w:val="Numbered list 14"/>
    <w:lvl w:ilvl="0">
      <w:start w:val="1"/>
      <w:numFmt w:val="decimal"/>
      <w:suff w:val="tab"/>
      <w:lvlText w:val="%1.0."/>
      <w:lvlJc w:val="left"/>
      <w:pPr>
        <w:ind w:left="0" w:hanging="0"/>
      </w:pPr>
    </w:lvl>
    <w:lvl w:ilvl="1">
      <w:start w:val="1"/>
      <w:numFmt w:val="decimal"/>
      <w:suff w:val="tab"/>
      <w:lvlText w:val="%1.%2."/>
      <w:lvlJc w:val="left"/>
      <w:pPr>
        <w:ind w:left="708" w:hanging="0"/>
      </w:pPr>
    </w:lvl>
    <w:lvl w:ilvl="2">
      <w:start w:val="1"/>
      <w:numFmt w:val="decimal"/>
      <w:suff w:val="tab"/>
      <w:lvlText w:val="%1.%2.%3."/>
      <w:lvlJc w:val="left"/>
      <w:pPr>
        <w:ind w:left="1416" w:hanging="0"/>
      </w:pPr>
    </w:lvl>
    <w:lvl w:ilvl="3">
      <w:start w:val="1"/>
      <w:numFmt w:val="decimal"/>
      <w:suff w:val="tab"/>
      <w:lvlText w:val="(%4)"/>
      <w:lvlJc w:val="left"/>
      <w:pPr>
        <w:ind w:left="2124" w:hanging="0"/>
      </w:pPr>
    </w:lvl>
    <w:lvl w:ilvl="4">
      <w:start w:val="1"/>
      <w:numFmt w:val="decimal"/>
      <w:suff w:val="tab"/>
      <w:lvlText w:val="%1.%2.%3.%4.%5."/>
      <w:lvlJc w:val="left"/>
      <w:pPr>
        <w:ind w:left="2832" w:hanging="0"/>
      </w:pPr>
    </w:lvl>
    <w:lvl w:ilvl="5">
      <w:start w:val="1"/>
      <w:numFmt w:val="decimal"/>
      <w:suff w:val="tab"/>
      <w:lvlText w:val="%1.%2.%3.%4.%5.%6."/>
      <w:lvlJc w:val="left"/>
      <w:pPr>
        <w:ind w:left="3540" w:hanging="0"/>
      </w:pPr>
    </w:lvl>
    <w:lvl w:ilvl="6">
      <w:start w:val="1"/>
      <w:numFmt w:val="decimal"/>
      <w:suff w:val="tab"/>
      <w:lvlText w:val="%1.%2.%3.%4.%5.%6.%7."/>
      <w:lvlJc w:val="left"/>
      <w:pPr>
        <w:ind w:left="4248" w:hanging="0"/>
      </w:pPr>
    </w:lvl>
    <w:lvl w:ilvl="7">
      <w:start w:val="1"/>
      <w:numFmt w:val="decimal"/>
      <w:suff w:val="tab"/>
      <w:lvlText w:val="%1.%2.%3.%4.%5.%6.%7.%8."/>
      <w:lvlJc w:val="left"/>
      <w:pPr>
        <w:ind w:left="4956" w:hanging="0"/>
      </w:pPr>
    </w:lvl>
    <w:lvl w:ilvl="8">
      <w:start w:val="1"/>
      <w:numFmt w:val="decimal"/>
      <w:suff w:val="tab"/>
      <w:lvlText w:val="%1.%2.%3.%4.%5.%6.%7.%8.%9."/>
      <w:lvlJc w:val="left"/>
      <w:pPr>
        <w:ind w:left="5664" w:hanging="0"/>
      </w:pPr>
    </w:lvl>
  </w:abstractNum>
  <w:abstractNum w:abstractNumId="15">
    <w:multiLevelType w:val="hybridMultilevel"/>
    <w:name w:val="Numbered list 15"/>
    <w:lvl w:ilvl="0">
      <w:start w:val="1"/>
      <w:numFmt w:val="decimal"/>
      <w:suff w:val="tab"/>
      <w:lvlText w:val="%1.0."/>
      <w:lvlJc w:val="left"/>
      <w:pPr>
        <w:ind w:left="0" w:hanging="0"/>
      </w:pPr>
    </w:lvl>
    <w:lvl w:ilvl="1">
      <w:start w:val="1"/>
      <w:numFmt w:val="decimal"/>
      <w:suff w:val="tab"/>
      <w:lvlText w:val="%1.%2."/>
      <w:lvlJc w:val="left"/>
      <w:pPr>
        <w:ind w:left="708" w:hanging="0"/>
      </w:pPr>
    </w:lvl>
    <w:lvl w:ilvl="2">
      <w:start w:val="1"/>
      <w:numFmt w:val="decimal"/>
      <w:suff w:val="tab"/>
      <w:lvlText w:val="%1.%2.%3."/>
      <w:lvlJc w:val="left"/>
      <w:pPr>
        <w:ind w:left="1416" w:hanging="0"/>
      </w:pPr>
    </w:lvl>
    <w:lvl w:ilvl="3">
      <w:start w:val="1"/>
      <w:numFmt w:val="decimal"/>
      <w:suff w:val="tab"/>
      <w:lvlText w:val="(%4)"/>
      <w:lvlJc w:val="left"/>
      <w:pPr>
        <w:ind w:left="1494" w:hanging="0"/>
      </w:pPr>
    </w:lvl>
    <w:lvl w:ilvl="4">
      <w:start w:val="1"/>
      <w:numFmt w:val="decimal"/>
      <w:suff w:val="tab"/>
      <w:lvlText w:val="%1.%2.%3.%4.%5."/>
      <w:lvlJc w:val="left"/>
      <w:pPr>
        <w:ind w:left="2832" w:hanging="0"/>
      </w:pPr>
    </w:lvl>
    <w:lvl w:ilvl="5">
      <w:start w:val="1"/>
      <w:numFmt w:val="decimal"/>
      <w:suff w:val="tab"/>
      <w:lvlText w:val="%1.%2.%3.%4.%5.%6."/>
      <w:lvlJc w:val="left"/>
      <w:pPr>
        <w:ind w:left="3540" w:hanging="0"/>
      </w:pPr>
    </w:lvl>
    <w:lvl w:ilvl="6">
      <w:start w:val="1"/>
      <w:numFmt w:val="decimal"/>
      <w:suff w:val="tab"/>
      <w:lvlText w:val="%1.%2.%3.%4.%5.%6.%7."/>
      <w:lvlJc w:val="left"/>
      <w:pPr>
        <w:ind w:left="4248" w:hanging="0"/>
      </w:pPr>
    </w:lvl>
    <w:lvl w:ilvl="7">
      <w:start w:val="1"/>
      <w:numFmt w:val="decimal"/>
      <w:suff w:val="tab"/>
      <w:lvlText w:val="%1.%2.%3.%4.%5.%6.%7.%8."/>
      <w:lvlJc w:val="left"/>
      <w:pPr>
        <w:ind w:left="4956" w:hanging="0"/>
      </w:pPr>
    </w:lvl>
    <w:lvl w:ilvl="8">
      <w:start w:val="1"/>
      <w:numFmt w:val="decimal"/>
      <w:suff w:val="tab"/>
      <w:lvlText w:val="%1.%2.%3.%4.%5.%6.%7.%8.%9."/>
      <w:lvlJc w:val="left"/>
      <w:pPr>
        <w:ind w:left="5664" w:hanging="0"/>
      </w:pPr>
    </w:lvl>
  </w:abstractNum>
  <w:abstractNum w:abstractNumId="16">
    <w:multiLevelType w:val="hybridMultilevel"/>
    <w:name w:val="Numbered list 16"/>
    <w:lvl w:ilvl="0">
      <w:start w:val="1"/>
      <w:numFmt w:val="decimal"/>
      <w:suff w:val="tab"/>
      <w:lvlText w:val="(%1)"/>
      <w:lvlJc w:val="left"/>
      <w:pPr>
        <w:ind w:left="1494" w:hanging="0"/>
      </w:pPr>
    </w:lvl>
    <w:lvl w:ilvl="1">
      <w:start w:val="1"/>
      <w:numFmt w:val="decimal"/>
      <w:suff w:val="tab"/>
      <w:lvlText w:val="%2."/>
      <w:lvlJc w:val="left"/>
      <w:pPr>
        <w:ind w:left="2214" w:hanging="0"/>
      </w:pPr>
    </w:lvl>
    <w:lvl w:ilvl="2">
      <w:start w:val="1"/>
      <w:numFmt w:val="decimal"/>
      <w:suff w:val="tab"/>
      <w:lvlText w:val="%3."/>
      <w:lvlJc w:val="left"/>
      <w:pPr>
        <w:ind w:left="3114" w:hanging="0"/>
      </w:pPr>
    </w:lvl>
    <w:lvl w:ilvl="3">
      <w:start w:val="1"/>
      <w:numFmt w:val="decimal"/>
      <w:suff w:val="tab"/>
      <w:lvlText w:val="%4."/>
      <w:lvlJc w:val="left"/>
      <w:pPr>
        <w:ind w:left="3654" w:hanging="0"/>
      </w:pPr>
    </w:lvl>
    <w:lvl w:ilvl="4">
      <w:start w:val="1"/>
      <w:numFmt w:val="lowerLetter"/>
      <w:suff w:val="tab"/>
      <w:lvlText w:val="%5."/>
      <w:lvlJc w:val="left"/>
      <w:pPr>
        <w:ind w:left="4374" w:hanging="0"/>
      </w:pPr>
    </w:lvl>
    <w:lvl w:ilvl="5">
      <w:start w:val="1"/>
      <w:numFmt w:val="lowerRoman"/>
      <w:suff w:val="tab"/>
      <w:lvlText w:val="%6."/>
      <w:lvlJc w:val="right"/>
      <w:pPr>
        <w:ind w:left="5274" w:hanging="0"/>
      </w:pPr>
    </w:lvl>
    <w:lvl w:ilvl="6">
      <w:start w:val="1"/>
      <w:numFmt w:val="decimal"/>
      <w:suff w:val="tab"/>
      <w:lvlText w:val="%7."/>
      <w:lvlJc w:val="left"/>
      <w:pPr>
        <w:ind w:left="5814" w:hanging="0"/>
      </w:pPr>
    </w:lvl>
    <w:lvl w:ilvl="7">
      <w:start w:val="1"/>
      <w:numFmt w:val="lowerLetter"/>
      <w:suff w:val="tab"/>
      <w:lvlText w:val="%8."/>
      <w:lvlJc w:val="left"/>
      <w:pPr>
        <w:ind w:left="6534" w:hanging="0"/>
      </w:pPr>
    </w:lvl>
    <w:lvl w:ilvl="8">
      <w:start w:val="1"/>
      <w:numFmt w:val="lowerRoman"/>
      <w:suff w:val="tab"/>
      <w:lvlText w:val="%9."/>
      <w:lvlJc w:val="right"/>
      <w:pPr>
        <w:ind w:left="7434" w:hanging="0"/>
      </w:pPr>
    </w:lvl>
  </w:abstractNum>
  <w:abstractNum w:abstractNumId="17">
    <w:multiLevelType w:val="hybridMultilevel"/>
    <w:name w:val="Numbered list 1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8">
    <w:multiLevelType w:val="hybridMultilevel"/>
    <w:name w:val="Numbered list 1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9">
    <w:multiLevelType w:val="hybridMultilevel"/>
    <w:name w:val="Numbered list 19"/>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20">
    <w:multiLevelType w:val="hybridMultilevel"/>
    <w:name w:val="Numbered list 20"/>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21">
    <w:multiLevelType w:val="hybridMultilevel"/>
    <w:name w:val="Numbered list 21"/>
    <w:lvl w:ilvl="0">
      <w:start w:val="1"/>
      <w:numFmt w:val="decimal"/>
      <w:suff w:val="tab"/>
      <w:lvlText w:val="%1.0."/>
      <w:lvlJc w:val="left"/>
      <w:pPr>
        <w:ind w:left="0" w:hanging="0"/>
      </w:pPr>
    </w:lvl>
    <w:lvl w:ilvl="1">
      <w:start w:val="1"/>
      <w:numFmt w:val="decimal"/>
      <w:suff w:val="tab"/>
      <w:lvlText w:val="%1.%2."/>
      <w:lvlJc w:val="left"/>
      <w:pPr>
        <w:ind w:left="708" w:hanging="0"/>
      </w:pPr>
    </w:lvl>
    <w:lvl w:ilvl="2">
      <w:start w:val="1"/>
      <w:numFmt w:val="decimal"/>
      <w:suff w:val="tab"/>
      <w:lvlText w:val="%1.%2.%3."/>
      <w:lvlJc w:val="left"/>
      <w:pPr>
        <w:ind w:left="1416" w:hanging="0"/>
      </w:pPr>
    </w:lvl>
    <w:lvl w:ilvl="3">
      <w:start w:val="1"/>
      <w:numFmt w:val="decimal"/>
      <w:suff w:val="tab"/>
      <w:lvlText w:val="(%4)"/>
      <w:lvlJc w:val="left"/>
      <w:pPr>
        <w:ind w:left="2124" w:hanging="0"/>
      </w:pPr>
    </w:lvl>
    <w:lvl w:ilvl="4">
      <w:start w:val="1"/>
      <w:numFmt w:val="decimal"/>
      <w:suff w:val="tab"/>
      <w:lvlText w:val="%1.%2.%3.%4.%5."/>
      <w:lvlJc w:val="left"/>
      <w:pPr>
        <w:ind w:left="2832" w:hanging="0"/>
      </w:pPr>
    </w:lvl>
    <w:lvl w:ilvl="5">
      <w:start w:val="1"/>
      <w:numFmt w:val="decimal"/>
      <w:suff w:val="tab"/>
      <w:lvlText w:val="%1.%2.%3.%4.%5.%6."/>
      <w:lvlJc w:val="left"/>
      <w:pPr>
        <w:ind w:left="3540" w:hanging="0"/>
      </w:pPr>
    </w:lvl>
    <w:lvl w:ilvl="6">
      <w:start w:val="1"/>
      <w:numFmt w:val="decimal"/>
      <w:suff w:val="tab"/>
      <w:lvlText w:val="%1.%2.%3.%4.%5.%6.%7."/>
      <w:lvlJc w:val="left"/>
      <w:pPr>
        <w:ind w:left="4248" w:hanging="0"/>
      </w:pPr>
    </w:lvl>
    <w:lvl w:ilvl="7">
      <w:start w:val="1"/>
      <w:numFmt w:val="decimal"/>
      <w:suff w:val="tab"/>
      <w:lvlText w:val="%1.%2.%3.%4.%5.%6.%7.%8."/>
      <w:lvlJc w:val="left"/>
      <w:pPr>
        <w:ind w:left="4956" w:hanging="0"/>
      </w:pPr>
    </w:lvl>
    <w:lvl w:ilvl="8">
      <w:start w:val="1"/>
      <w:numFmt w:val="decimal"/>
      <w:suff w:val="tab"/>
      <w:lvlText w:val="%1.%2.%3.%4.%5.%6.%7.%8.%9."/>
      <w:lvlJc w:val="left"/>
      <w:pPr>
        <w:ind w:left="5664" w:hanging="0"/>
      </w:pPr>
    </w:lvl>
  </w:abstractNum>
  <w:abstractNum w:abstractNumId="22">
    <w:multiLevelType w:val="hybridMultilevel"/>
    <w:name w:val="Numbered list 2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23">
    <w:multiLevelType w:val="hybridMultilevel"/>
    <w:name w:val="Numbered list 23"/>
    <w:lvl w:ilvl="0">
      <w:numFmt w:val="bullet"/>
      <w:suff w:val="tab"/>
      <w:lvlText w:val=""/>
      <w:lvlJc w:val="left"/>
      <w:pPr>
        <w:ind w:left="420" w:hanging="0"/>
      </w:pPr>
      <w:rPr>
        <w:rFonts w:ascii="Symbol" w:hAnsi="Symbol"/>
        <w:b/>
        <w:bCs/>
      </w:rPr>
    </w:lvl>
    <w:lvl w:ilvl="1">
      <w:numFmt w:val="bullet"/>
      <w:suff w:val="tab"/>
      <w:lvlText w:val="o"/>
      <w:lvlJc w:val="left"/>
      <w:pPr>
        <w:ind w:left="1140" w:hanging="0"/>
      </w:pPr>
      <w:rPr>
        <w:rFonts w:ascii="Courier New" w:hAnsi="Courier New" w:cs="Courier New"/>
      </w:rPr>
    </w:lvl>
    <w:lvl w:ilvl="2">
      <w:numFmt w:val="bullet"/>
      <w:suff w:val="tab"/>
      <w:lvlText w:val=""/>
      <w:lvlJc w:val="left"/>
      <w:pPr>
        <w:ind w:left="1860" w:hanging="0"/>
      </w:pPr>
      <w:rPr>
        <w:rFonts w:ascii="Wingdings" w:hAnsi="Wingdings" w:eastAsia="Wingdings" w:cs="Wingdings"/>
      </w:rPr>
    </w:lvl>
    <w:lvl w:ilvl="3">
      <w:numFmt w:val="bullet"/>
      <w:suff w:val="tab"/>
      <w:lvlText w:val=""/>
      <w:lvlJc w:val="left"/>
      <w:pPr>
        <w:ind w:left="2580" w:hanging="0"/>
      </w:pPr>
      <w:rPr>
        <w:rFonts w:ascii="Symbol" w:hAnsi="Symbol"/>
      </w:rPr>
    </w:lvl>
    <w:lvl w:ilvl="4">
      <w:numFmt w:val="bullet"/>
      <w:suff w:val="tab"/>
      <w:lvlText w:val="o"/>
      <w:lvlJc w:val="left"/>
      <w:pPr>
        <w:ind w:left="3300" w:hanging="0"/>
      </w:pPr>
      <w:rPr>
        <w:rFonts w:ascii="Courier New" w:hAnsi="Courier New" w:cs="Courier New"/>
      </w:rPr>
    </w:lvl>
    <w:lvl w:ilvl="5">
      <w:numFmt w:val="bullet"/>
      <w:suff w:val="tab"/>
      <w:lvlText w:val=""/>
      <w:lvlJc w:val="left"/>
      <w:pPr>
        <w:ind w:left="4020" w:hanging="0"/>
      </w:pPr>
      <w:rPr>
        <w:rFonts w:ascii="Wingdings" w:hAnsi="Wingdings" w:eastAsia="Wingdings" w:cs="Wingdings"/>
      </w:rPr>
    </w:lvl>
    <w:lvl w:ilvl="6">
      <w:numFmt w:val="bullet"/>
      <w:suff w:val="tab"/>
      <w:lvlText w:val=""/>
      <w:lvlJc w:val="left"/>
      <w:pPr>
        <w:ind w:left="4740" w:hanging="0"/>
      </w:pPr>
      <w:rPr>
        <w:rFonts w:ascii="Symbol" w:hAnsi="Symbol"/>
      </w:rPr>
    </w:lvl>
    <w:lvl w:ilvl="7">
      <w:numFmt w:val="bullet"/>
      <w:suff w:val="tab"/>
      <w:lvlText w:val="o"/>
      <w:lvlJc w:val="left"/>
      <w:pPr>
        <w:ind w:left="5460" w:hanging="0"/>
      </w:pPr>
      <w:rPr>
        <w:rFonts w:ascii="Courier New" w:hAnsi="Courier New" w:cs="Courier New"/>
      </w:rPr>
    </w:lvl>
    <w:lvl w:ilvl="8">
      <w:numFmt w:val="bullet"/>
      <w:suff w:val="tab"/>
      <w:lvlText w:val=""/>
      <w:lvlJc w:val="left"/>
      <w:pPr>
        <w:ind w:left="6180" w:hanging="0"/>
      </w:pPr>
      <w:rPr>
        <w:rFonts w:ascii="Wingdings" w:hAnsi="Wingdings" w:eastAsia="Wingdings" w:cs="Wingdings"/>
      </w:rPr>
    </w:lvl>
  </w:abstractNum>
  <w:abstractNum w:abstractNumId="24">
    <w:multiLevelType w:val="hybridMultilevel"/>
    <w:name w:val="Numbered list 24"/>
    <w:lvl w:ilvl="0">
      <w:start w:val="1"/>
      <w:numFmt w:val="decimal"/>
      <w:suff w:val="tab"/>
      <w:lvlText w:val="%1.0."/>
      <w:lvlJc w:val="left"/>
      <w:pPr>
        <w:ind w:left="0" w:hanging="0"/>
      </w:pPr>
    </w:lvl>
    <w:lvl w:ilvl="1">
      <w:start w:val="1"/>
      <w:numFmt w:val="decimal"/>
      <w:suff w:val="tab"/>
      <w:lvlText w:val="%1.%2."/>
      <w:lvlJc w:val="left"/>
      <w:pPr>
        <w:ind w:left="708" w:hanging="0"/>
      </w:pPr>
    </w:lvl>
    <w:lvl w:ilvl="2">
      <w:start w:val="1"/>
      <w:numFmt w:val="decimal"/>
      <w:suff w:val="tab"/>
      <w:lvlText w:val="%1.%2.%3."/>
      <w:lvlJc w:val="left"/>
      <w:pPr>
        <w:ind w:left="1416" w:hanging="0"/>
      </w:pPr>
    </w:lvl>
    <w:lvl w:ilvl="3">
      <w:start w:val="1"/>
      <w:numFmt w:val="decimal"/>
      <w:suff w:val="tab"/>
      <w:lvlText w:val="(%4)"/>
      <w:lvlJc w:val="left"/>
      <w:pPr>
        <w:ind w:left="1494" w:hanging="0"/>
      </w:pPr>
    </w:lvl>
    <w:lvl w:ilvl="4">
      <w:start w:val="1"/>
      <w:numFmt w:val="decimal"/>
      <w:suff w:val="tab"/>
      <w:lvlText w:val="%1.%2.%3.%4.%5."/>
      <w:lvlJc w:val="left"/>
      <w:pPr>
        <w:ind w:left="2832" w:hanging="0"/>
      </w:pPr>
    </w:lvl>
    <w:lvl w:ilvl="5">
      <w:start w:val="1"/>
      <w:numFmt w:val="decimal"/>
      <w:suff w:val="tab"/>
      <w:lvlText w:val="%1.%2.%3.%4.%5.%6."/>
      <w:lvlJc w:val="left"/>
      <w:pPr>
        <w:ind w:left="3540" w:hanging="0"/>
      </w:pPr>
    </w:lvl>
    <w:lvl w:ilvl="6">
      <w:start w:val="1"/>
      <w:numFmt w:val="decimal"/>
      <w:suff w:val="tab"/>
      <w:lvlText w:val="%1.%2.%3.%4.%5.%6.%7."/>
      <w:lvlJc w:val="left"/>
      <w:pPr>
        <w:ind w:left="4248" w:hanging="0"/>
      </w:pPr>
    </w:lvl>
    <w:lvl w:ilvl="7">
      <w:start w:val="1"/>
      <w:numFmt w:val="decimal"/>
      <w:suff w:val="tab"/>
      <w:lvlText w:val="%1.%2.%3.%4.%5.%6.%7.%8."/>
      <w:lvlJc w:val="left"/>
      <w:pPr>
        <w:ind w:left="4956" w:hanging="0"/>
      </w:pPr>
    </w:lvl>
    <w:lvl w:ilvl="8">
      <w:start w:val="1"/>
      <w:numFmt w:val="decimal"/>
      <w:suff w:val="tab"/>
      <w:lvlText w:val="%1.%2.%3.%4.%5.%6.%7.%8.%9."/>
      <w:lvlJc w:val="left"/>
      <w:pPr>
        <w:ind w:left="5664" w:hanging="0"/>
      </w:pPr>
    </w:lvl>
  </w:abstractNum>
  <w:abstractNum w:abstractNumId="25">
    <w:multiLevelType w:val="hybridMultilevel"/>
    <w:name w:val="Numbered list 2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26">
    <w:multiLevelType w:val="hybridMultilevel"/>
    <w:name w:val="Numbered list 26"/>
    <w:lvl w:ilvl="0">
      <w:start w:val="1"/>
      <w:numFmt w:val="decimal"/>
      <w:suff w:val="tab"/>
      <w:lvlText w:val="%1.0."/>
      <w:lvlJc w:val="left"/>
      <w:pPr>
        <w:ind w:left="0" w:hanging="0"/>
      </w:pPr>
    </w:lvl>
    <w:lvl w:ilvl="1">
      <w:start w:val="1"/>
      <w:numFmt w:val="decimal"/>
      <w:suff w:val="tab"/>
      <w:lvlText w:val="%1.%2."/>
      <w:lvlJc w:val="left"/>
      <w:pPr>
        <w:ind w:left="708" w:hanging="0"/>
      </w:pPr>
    </w:lvl>
    <w:lvl w:ilvl="2">
      <w:start w:val="1"/>
      <w:numFmt w:val="decimal"/>
      <w:suff w:val="tab"/>
      <w:lvlText w:val="%1.%2.%3."/>
      <w:lvlJc w:val="left"/>
      <w:pPr>
        <w:ind w:left="1416" w:hanging="0"/>
      </w:pPr>
    </w:lvl>
    <w:lvl w:ilvl="3">
      <w:start w:val="1"/>
      <w:numFmt w:val="decimal"/>
      <w:suff w:val="tab"/>
      <w:lvlText w:val="(%4)"/>
      <w:lvlJc w:val="left"/>
      <w:pPr>
        <w:ind w:left="1494" w:hanging="0"/>
      </w:pPr>
    </w:lvl>
    <w:lvl w:ilvl="4">
      <w:start w:val="1"/>
      <w:numFmt w:val="decimal"/>
      <w:suff w:val="tab"/>
      <w:lvlText w:val="%1.%2.%3.%4.%5."/>
      <w:lvlJc w:val="left"/>
      <w:pPr>
        <w:ind w:left="2832" w:hanging="0"/>
      </w:pPr>
    </w:lvl>
    <w:lvl w:ilvl="5">
      <w:start w:val="1"/>
      <w:numFmt w:val="decimal"/>
      <w:suff w:val="tab"/>
      <w:lvlText w:val="%1.%2.%3.%4.%5.%6."/>
      <w:lvlJc w:val="left"/>
      <w:pPr>
        <w:ind w:left="3540" w:hanging="0"/>
      </w:pPr>
    </w:lvl>
    <w:lvl w:ilvl="6">
      <w:start w:val="1"/>
      <w:numFmt w:val="decimal"/>
      <w:suff w:val="tab"/>
      <w:lvlText w:val="%1.%2.%3.%4.%5.%6.%7."/>
      <w:lvlJc w:val="left"/>
      <w:pPr>
        <w:ind w:left="4248" w:hanging="0"/>
      </w:pPr>
    </w:lvl>
    <w:lvl w:ilvl="7">
      <w:start w:val="1"/>
      <w:numFmt w:val="decimal"/>
      <w:suff w:val="tab"/>
      <w:lvlText w:val="%1.%2.%3.%4.%5.%6.%7.%8."/>
      <w:lvlJc w:val="left"/>
      <w:pPr>
        <w:ind w:left="4956" w:hanging="0"/>
      </w:pPr>
    </w:lvl>
    <w:lvl w:ilvl="8">
      <w:start w:val="1"/>
      <w:numFmt w:val="decimal"/>
      <w:suff w:val="tab"/>
      <w:lvlText w:val="%1.%2.%3.%4.%5.%6.%7.%8.%9."/>
      <w:lvlJc w:val="left"/>
      <w:pPr>
        <w:ind w:left="5664" w:hanging="0"/>
      </w:pPr>
    </w:lvl>
  </w:abstractNum>
  <w:abstractNum w:abstractNumId="27">
    <w:multiLevelType w:val="hybridMultilevel"/>
    <w:name w:val="Numbered list 27"/>
    <w:lvl w:ilvl="0">
      <w:start w:val="1"/>
      <w:numFmt w:val="decimal"/>
      <w:suff w:val="tab"/>
      <w:lvlText w:val="%1.0."/>
      <w:lvlJc w:val="left"/>
      <w:pPr>
        <w:ind w:left="0" w:hanging="0"/>
      </w:pPr>
    </w:lvl>
    <w:lvl w:ilvl="1">
      <w:start w:val="1"/>
      <w:numFmt w:val="decimal"/>
      <w:suff w:val="tab"/>
      <w:lvlText w:val="%1.%2."/>
      <w:lvlJc w:val="left"/>
      <w:pPr>
        <w:ind w:left="708" w:hanging="0"/>
      </w:pPr>
    </w:lvl>
    <w:lvl w:ilvl="2">
      <w:start w:val="1"/>
      <w:numFmt w:val="decimal"/>
      <w:suff w:val="tab"/>
      <w:lvlText w:val="%1.%2.%3."/>
      <w:lvlJc w:val="left"/>
      <w:pPr>
        <w:ind w:left="1416" w:hanging="0"/>
      </w:pPr>
    </w:lvl>
    <w:lvl w:ilvl="3">
      <w:start w:val="1"/>
      <w:numFmt w:val="decimal"/>
      <w:suff w:val="tab"/>
      <w:lvlText w:val="(%4)"/>
      <w:lvlJc w:val="left"/>
      <w:pPr>
        <w:ind w:left="2124" w:hanging="0"/>
      </w:pPr>
    </w:lvl>
    <w:lvl w:ilvl="4">
      <w:start w:val="1"/>
      <w:numFmt w:val="decimal"/>
      <w:suff w:val="tab"/>
      <w:lvlText w:val="%1.%2.%3.%4.%5."/>
      <w:lvlJc w:val="left"/>
      <w:pPr>
        <w:ind w:left="2832" w:hanging="0"/>
      </w:pPr>
    </w:lvl>
    <w:lvl w:ilvl="5">
      <w:start w:val="1"/>
      <w:numFmt w:val="decimal"/>
      <w:suff w:val="tab"/>
      <w:lvlText w:val="%1.%2.%3.%4.%5.%6."/>
      <w:lvlJc w:val="left"/>
      <w:pPr>
        <w:ind w:left="3540" w:hanging="0"/>
      </w:pPr>
    </w:lvl>
    <w:lvl w:ilvl="6">
      <w:start w:val="1"/>
      <w:numFmt w:val="decimal"/>
      <w:suff w:val="tab"/>
      <w:lvlText w:val="%1.%2.%3.%4.%5.%6.%7."/>
      <w:lvlJc w:val="left"/>
      <w:pPr>
        <w:ind w:left="4248" w:hanging="0"/>
      </w:pPr>
    </w:lvl>
    <w:lvl w:ilvl="7">
      <w:start w:val="1"/>
      <w:numFmt w:val="decimal"/>
      <w:suff w:val="tab"/>
      <w:lvlText w:val="%1.%2.%3.%4.%5.%6.%7.%8."/>
      <w:lvlJc w:val="left"/>
      <w:pPr>
        <w:ind w:left="4956" w:hanging="0"/>
      </w:pPr>
    </w:lvl>
    <w:lvl w:ilvl="8">
      <w:start w:val="1"/>
      <w:numFmt w:val="decimal"/>
      <w:suff w:val="tab"/>
      <w:lvlText w:val="%1.%2.%3.%4.%5.%6.%7.%8.%9."/>
      <w:lvlJc w:val="left"/>
      <w:pPr>
        <w:ind w:left="5664" w:hanging="0"/>
      </w:pPr>
    </w:lvl>
  </w:abstractNum>
  <w:abstractNum w:abstractNumId="28">
    <w:multiLevelType w:val="hybridMultilevel"/>
    <w:name w:val="Numbered list 2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29">
    <w:multiLevelType w:val="hybridMultilevel"/>
    <w:name w:val="Numbered list 29"/>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30">
    <w:multiLevelType w:val="hybridMultilevel"/>
    <w:name w:val="Numbered list 30"/>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31">
    <w:multiLevelType w:val="hybridMultilevel"/>
    <w:name w:val="Numbered list 3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32">
    <w:multiLevelType w:val="hybridMultilevel"/>
    <w:name w:val="Numbered list 3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3">
    <w:multiLevelType w:val="hybridMultilevel"/>
    <w:name w:val="Numbered list 33"/>
    <w:lvl w:ilvl="0">
      <w:start w:val="1"/>
      <w:numFmt w:val="decimal"/>
      <w:suff w:val="tab"/>
      <w:lvlText w:val="%1."/>
      <w:lvlJc w:val="left"/>
      <w:pPr>
        <w:ind w:left="0" w:hanging="0"/>
      </w:pPr>
    </w:lvl>
    <w:lvl w:ilvl="1">
      <w:start w:val="1"/>
      <w:numFmt w:val="decimal"/>
      <w:suff w:val="tab"/>
      <w:lvlText w:val="%1.%2."/>
      <w:lvlJc w:val="left"/>
      <w:pPr>
        <w:ind w:left="708" w:hanging="0"/>
      </w:pPr>
    </w:lvl>
    <w:lvl w:ilvl="2">
      <w:start w:val="1"/>
      <w:numFmt w:val="decimal"/>
      <w:suff w:val="tab"/>
      <w:lvlText w:val="%1.%2.%3."/>
      <w:lvlJc w:val="left"/>
      <w:pPr>
        <w:ind w:left="1416" w:hanging="0"/>
      </w:pPr>
    </w:lvl>
    <w:lvl w:ilvl="3">
      <w:start w:val="1"/>
      <w:numFmt w:val="decimal"/>
      <w:suff w:val="tab"/>
      <w:lvlText w:val="%1.%2.%3.%4."/>
      <w:lvlJc w:val="left"/>
      <w:pPr>
        <w:ind w:left="2124" w:hanging="0"/>
      </w:pPr>
    </w:lvl>
    <w:lvl w:ilvl="4">
      <w:start w:val="1"/>
      <w:numFmt w:val="decimal"/>
      <w:suff w:val="tab"/>
      <w:lvlText w:val="%1.%2.%3.%4.%5."/>
      <w:lvlJc w:val="left"/>
      <w:pPr>
        <w:ind w:left="2832" w:hanging="0"/>
      </w:pPr>
    </w:lvl>
    <w:lvl w:ilvl="5">
      <w:start w:val="1"/>
      <w:numFmt w:val="decimal"/>
      <w:suff w:val="tab"/>
      <w:lvlText w:val="%1.%2.%3.%4.%5.%6."/>
      <w:lvlJc w:val="left"/>
      <w:pPr>
        <w:ind w:left="3540" w:hanging="0"/>
      </w:pPr>
    </w:lvl>
    <w:lvl w:ilvl="6">
      <w:start w:val="1"/>
      <w:numFmt w:val="decimal"/>
      <w:suff w:val="tab"/>
      <w:lvlText w:val="%1.%2.%3.%4.%5.%6.%7."/>
      <w:lvlJc w:val="left"/>
      <w:pPr>
        <w:ind w:left="4248" w:hanging="0"/>
      </w:pPr>
    </w:lvl>
    <w:lvl w:ilvl="7">
      <w:start w:val="1"/>
      <w:numFmt w:val="decimal"/>
      <w:suff w:val="tab"/>
      <w:lvlText w:val="%1.%2.%3.%4.%5.%6.%7.%8."/>
      <w:lvlJc w:val="left"/>
      <w:pPr>
        <w:ind w:left="4956" w:hanging="0"/>
      </w:pPr>
    </w:lvl>
    <w:lvl w:ilvl="8">
      <w:start w:val="1"/>
      <w:numFmt w:val="decimal"/>
      <w:suff w:val="tab"/>
      <w:lvlText w:val="%1.%2.%3.%4.%5.%6.%7.%8.%9."/>
      <w:lvlJc w:val="left"/>
      <w:pPr>
        <w:ind w:left="5664"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6"/>
    <w:tmReviewMarkIns w:val="4"/>
    <w:tmReviewColorIns w:val="-1"/>
    <w:tmReviewMarkDel w:val="7"/>
    <w:tmReviewColorDel w:val="-1"/>
    <w:tmReviewMarkFmt w:val="7"/>
    <w:tmReviewColorFmt w:val="-1"/>
    <w:tmReviewMarkLn w:val="1"/>
    <w:tmReviewColorLn w:val="0"/>
    <w:tmReviewToolTip w:val="1"/>
  </w:tmReviewPr>
  <w:tmLastPos>
    <w:tmLastPosPage w:val="3"/>
    <w:tmLastPosSelect w:val="0"/>
    <w:tmLastPosFrameIdx w:val="0"/>
    <w:tmLastPosCaret>
      <w:tmLastPosPgfIdx w:val="26"/>
      <w:tmLastPosIdx w:val="119"/>
    </w:tmLastPosCaret>
    <w:tmLastPosAnchor>
      <w:tmLastPosPgfIdx w:val="0"/>
      <w:tmLastPosIdx w:val="0"/>
    </w:tmLastPosAnchor>
    <w:tmLastPosTblRect w:left="0" w:top="0" w:right="0" w:bottom="0"/>
  </w:tmLastPos>
  <w:tmAppRevision w:date="1771325936" w:val="1230"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kern w:val="1"/>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er"/>
    <w:qFormat/>
    <w:basedOn w:val="para0"/>
    <w:pPr>
      <w:spacing w:after="0" w:line="240" w:lineRule="auto"/>
      <w:tabs defTabSz="708">
        <w:tab w:val="center" w:pos="4513" w:leader="none"/>
        <w:tab w:val="right" w:pos="9026" w:leader="none"/>
      </w:tabs>
    </w:pPr>
  </w:style>
  <w:style w:type="paragraph" w:styleId="para2">
    <w:name w:val="Footer"/>
    <w:qFormat/>
    <w:basedOn w:val="para0"/>
    <w:pPr>
      <w:spacing w:after="0" w:line="240" w:lineRule="auto"/>
      <w:tabs defTabSz="708">
        <w:tab w:val="center" w:pos="4513" w:leader="none"/>
        <w:tab w:val="right" w:pos="9026" w:leader="none"/>
      </w:tabs>
    </w:pPr>
  </w:style>
  <w:style w:type="paragraph" w:styleId="para3">
    <w:name w:val="List Paragraph"/>
    <w:qFormat/>
    <w:basedOn w:val="para0"/>
    <w:pPr>
      <w:ind w:left="720"/>
      <w:contextualSpacing/>
    </w:pPr>
  </w:style>
  <w:style w:type="paragraph" w:styleId="para4">
    <w:name w:val="Normal (Web)"/>
    <w:qFormat/>
    <w:basedOn w:val="para0"/>
    <w:pPr>
      <w:spacing w:before="100" w:after="100" w:beforeAutospacing="1" w:afterAutospacing="1" w:line="240" w:lineRule="auto"/>
    </w:pPr>
    <w:rPr>
      <w:rFonts w:ascii="Times New Roman" w:hAnsi="Times New Roman" w:eastAsia="Times New Roman" w:cs="Times New Roman"/>
      <w:sz w:val="24"/>
      <w:szCs w:val="24"/>
      <w:lang w:eastAsia="ro-ro"/>
    </w:rPr>
  </w:style>
  <w:style w:type="paragraph" w:styleId="para5" w:customStyle="1">
    <w:name w:val="Default"/>
    <w:qFormat/>
    <w:pPr>
      <w:spacing w:after="0" w:line="240" w:lineRule="auto"/>
    </w:pPr>
    <w:rPr>
      <w:rFonts w:eastAsia="Calibri"/>
      <w:color w:val="000000"/>
      <w:kern w:val="1"/>
      <w:sz w:val="24"/>
      <w:szCs w:val="24"/>
      <w:lang w:val="ro-ro" w:eastAsia="en-us" w:bidi="ar-sa"/>
    </w:rPr>
  </w:style>
  <w:style w:type="paragraph" w:styleId="para6">
    <w:name w:val="Footnote Text"/>
    <w:qFormat/>
    <w:basedOn w:val="para0"/>
    <w:pPr>
      <w:spacing w:after="0" w:line="240" w:lineRule="auto"/>
    </w:pPr>
    <w:rPr>
      <w:sz w:val="20"/>
      <w:szCs w:val="20"/>
    </w:rPr>
  </w:style>
  <w:style w:type="paragraph" w:styleId="para7" w:customStyle="1">
    <w:name w:val="annotation text"/>
    <w:qFormat/>
    <w:basedOn w:val="para0"/>
    <w:pPr>
      <w:spacing w:line="240" w:lineRule="auto"/>
    </w:pPr>
    <w:rPr>
      <w:sz w:val="20"/>
      <w:szCs w:val="20"/>
    </w:rPr>
  </w:style>
  <w:style w:type="paragraph" w:styleId="para8" w:customStyle="1">
    <w:name w:val="annotation subject"/>
    <w:qFormat/>
    <w:basedOn w:val="para7"/>
    <w:next w:val="para7"/>
    <w:rPr>
      <w:b/>
      <w:bCs/>
    </w:rPr>
  </w:style>
  <w:style w:type="paragraph" w:styleId="para9">
    <w:name w:val="Balloon Text"/>
    <w:qFormat/>
    <w:basedOn w:val="para0"/>
    <w:pPr>
      <w:spacing w:after="0" w:line="240" w:lineRule="auto"/>
    </w:pPr>
    <w:rPr>
      <w:rFonts w:ascii="Segoe UI" w:hAnsi="Segoe UI" w:cs="Segoe UI"/>
      <w:sz w:val="18"/>
      <w:szCs w:val="18"/>
    </w:rPr>
  </w:style>
  <w:style w:type="character" w:styleId="char0" w:default="1">
    <w:name w:val="Default Paragraph Font"/>
  </w:style>
  <w:style w:type="character" w:styleId="char1" w:customStyle="1">
    <w:name w:val="Antet Caracter"/>
    <w:basedOn w:val="char0"/>
  </w:style>
  <w:style w:type="character" w:styleId="char2" w:customStyle="1">
    <w:name w:val="Subsol Caracter"/>
    <w:basedOn w:val="char0"/>
  </w:style>
  <w:style w:type="character" w:styleId="char3">
    <w:name w:val="Strong"/>
    <w:basedOn w:val="char0"/>
    <w:rPr>
      <w:b/>
      <w:bCs/>
    </w:rPr>
  </w:style>
  <w:style w:type="character" w:styleId="char4">
    <w:name w:val="Hyperlink"/>
    <w:basedOn w:val="char0"/>
    <w:rPr>
      <w:color w:val="0563c1"/>
      <w:u w:color="auto" w:val="single"/>
    </w:rPr>
  </w:style>
  <w:style w:type="character" w:styleId="char5" w:customStyle="1">
    <w:name w:val="Mențiune Nerezolvat1"/>
    <w:basedOn w:val="char0"/>
    <w:rPr>
      <w:color w:val="605e5c"/>
      <w:shd w:val="clear" w:fill="e1dfdd"/>
    </w:rPr>
  </w:style>
  <w:style w:type="character" w:styleId="char6" w:customStyle="1">
    <w:name w:val="Text notă de subsol Caracter"/>
    <w:basedOn w:val="char0"/>
    <w:rPr>
      <w:sz w:val="20"/>
      <w:szCs w:val="20"/>
    </w:rPr>
  </w:style>
  <w:style w:type="character" w:styleId="char7">
    <w:name w:val="Footnote Reference"/>
    <w:basedOn w:val="char0"/>
    <w:rPr>
      <w:vertAlign w:val="superscript"/>
    </w:rPr>
  </w:style>
  <w:style w:type="character" w:styleId="char8" w:customStyle="1">
    <w:name w:val="annotation reference"/>
    <w:basedOn w:val="char0"/>
    <w:rPr>
      <w:sz w:val="16"/>
      <w:szCs w:val="16"/>
    </w:rPr>
  </w:style>
  <w:style w:type="character" w:styleId="char9" w:customStyle="1">
    <w:name w:val="Text comentariu Caracter"/>
    <w:basedOn w:val="char0"/>
    <w:rPr>
      <w:sz w:val="20"/>
      <w:szCs w:val="20"/>
    </w:rPr>
  </w:style>
  <w:style w:type="character" w:styleId="char10" w:customStyle="1">
    <w:name w:val="Subiect Comentariu Caracter"/>
    <w:basedOn w:val="char9"/>
    <w:rPr>
      <w:b/>
      <w:bCs/>
      <w:sz w:val="20"/>
      <w:szCs w:val="20"/>
    </w:rPr>
  </w:style>
  <w:style w:type="character" w:styleId="char11" w:customStyle="1">
    <w:name w:val="Text în Balon Caracter"/>
    <w:basedOn w:val="char0"/>
    <w:rPr>
      <w:rFonts w:ascii="Segoe UI" w:hAnsi="Segoe UI" w:cs="Segoe UI"/>
      <w:sz w:val="18"/>
      <w:szCs w:val="18"/>
    </w:rPr>
  </w:style>
  <w:style w:type="character" w:styleId="char12">
    <w:name w:val="FollowedHyperlink"/>
    <w:basedOn w:val="char0"/>
    <w:rPr>
      <w:color w:val="954f72"/>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kern w:val="1"/>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er"/>
    <w:qFormat/>
    <w:basedOn w:val="para0"/>
    <w:pPr>
      <w:spacing w:after="0" w:line="240" w:lineRule="auto"/>
      <w:tabs defTabSz="708">
        <w:tab w:val="center" w:pos="4513" w:leader="none"/>
        <w:tab w:val="right" w:pos="9026" w:leader="none"/>
      </w:tabs>
    </w:pPr>
  </w:style>
  <w:style w:type="paragraph" w:styleId="para2">
    <w:name w:val="Footer"/>
    <w:qFormat/>
    <w:basedOn w:val="para0"/>
    <w:pPr>
      <w:spacing w:after="0" w:line="240" w:lineRule="auto"/>
      <w:tabs defTabSz="708">
        <w:tab w:val="center" w:pos="4513" w:leader="none"/>
        <w:tab w:val="right" w:pos="9026" w:leader="none"/>
      </w:tabs>
    </w:pPr>
  </w:style>
  <w:style w:type="paragraph" w:styleId="para3">
    <w:name w:val="List Paragraph"/>
    <w:qFormat/>
    <w:basedOn w:val="para0"/>
    <w:pPr>
      <w:ind w:left="720"/>
      <w:contextualSpacing/>
    </w:pPr>
  </w:style>
  <w:style w:type="paragraph" w:styleId="para4">
    <w:name w:val="Normal (Web)"/>
    <w:qFormat/>
    <w:basedOn w:val="para0"/>
    <w:pPr>
      <w:spacing w:before="100" w:after="100" w:beforeAutospacing="1" w:afterAutospacing="1" w:line="240" w:lineRule="auto"/>
    </w:pPr>
    <w:rPr>
      <w:rFonts w:ascii="Times New Roman" w:hAnsi="Times New Roman" w:eastAsia="Times New Roman" w:cs="Times New Roman"/>
      <w:sz w:val="24"/>
      <w:szCs w:val="24"/>
      <w:lang w:eastAsia="ro-ro"/>
    </w:rPr>
  </w:style>
  <w:style w:type="paragraph" w:styleId="para5" w:customStyle="1">
    <w:name w:val="Default"/>
    <w:qFormat/>
    <w:pPr>
      <w:spacing w:after="0" w:line="240" w:lineRule="auto"/>
    </w:pPr>
    <w:rPr>
      <w:rFonts w:eastAsia="Calibri"/>
      <w:color w:val="000000"/>
      <w:kern w:val="1"/>
      <w:sz w:val="24"/>
      <w:szCs w:val="24"/>
      <w:lang w:val="ro-ro" w:eastAsia="en-us" w:bidi="ar-sa"/>
    </w:rPr>
  </w:style>
  <w:style w:type="paragraph" w:styleId="para6">
    <w:name w:val="Footnote Text"/>
    <w:qFormat/>
    <w:basedOn w:val="para0"/>
    <w:pPr>
      <w:spacing w:after="0" w:line="240" w:lineRule="auto"/>
    </w:pPr>
    <w:rPr>
      <w:sz w:val="20"/>
      <w:szCs w:val="20"/>
    </w:rPr>
  </w:style>
  <w:style w:type="paragraph" w:styleId="para7" w:customStyle="1">
    <w:name w:val="annotation text"/>
    <w:qFormat/>
    <w:basedOn w:val="para0"/>
    <w:pPr>
      <w:spacing w:line="240" w:lineRule="auto"/>
    </w:pPr>
    <w:rPr>
      <w:sz w:val="20"/>
      <w:szCs w:val="20"/>
    </w:rPr>
  </w:style>
  <w:style w:type="paragraph" w:styleId="para8" w:customStyle="1">
    <w:name w:val="annotation subject"/>
    <w:qFormat/>
    <w:basedOn w:val="para7"/>
    <w:next w:val="para7"/>
    <w:rPr>
      <w:b/>
      <w:bCs/>
    </w:rPr>
  </w:style>
  <w:style w:type="paragraph" w:styleId="para9">
    <w:name w:val="Balloon Text"/>
    <w:qFormat/>
    <w:basedOn w:val="para0"/>
    <w:pPr>
      <w:spacing w:after="0" w:line="240" w:lineRule="auto"/>
    </w:pPr>
    <w:rPr>
      <w:rFonts w:ascii="Segoe UI" w:hAnsi="Segoe UI" w:cs="Segoe UI"/>
      <w:sz w:val="18"/>
      <w:szCs w:val="18"/>
    </w:rPr>
  </w:style>
  <w:style w:type="character" w:styleId="char0" w:default="1">
    <w:name w:val="Default Paragraph Font"/>
  </w:style>
  <w:style w:type="character" w:styleId="char1" w:customStyle="1">
    <w:name w:val="Antet Caracter"/>
    <w:basedOn w:val="char0"/>
  </w:style>
  <w:style w:type="character" w:styleId="char2" w:customStyle="1">
    <w:name w:val="Subsol Caracter"/>
    <w:basedOn w:val="char0"/>
  </w:style>
  <w:style w:type="character" w:styleId="char3">
    <w:name w:val="Strong"/>
    <w:basedOn w:val="char0"/>
    <w:rPr>
      <w:b/>
      <w:bCs/>
    </w:rPr>
  </w:style>
  <w:style w:type="character" w:styleId="char4">
    <w:name w:val="Hyperlink"/>
    <w:basedOn w:val="char0"/>
    <w:rPr>
      <w:color w:val="0563c1"/>
      <w:u w:color="auto" w:val="single"/>
    </w:rPr>
  </w:style>
  <w:style w:type="character" w:styleId="char5" w:customStyle="1">
    <w:name w:val="Mențiune Nerezolvat1"/>
    <w:basedOn w:val="char0"/>
    <w:rPr>
      <w:color w:val="605e5c"/>
      <w:shd w:val="clear" w:fill="e1dfdd"/>
    </w:rPr>
  </w:style>
  <w:style w:type="character" w:styleId="char6" w:customStyle="1">
    <w:name w:val="Text notă de subsol Caracter"/>
    <w:basedOn w:val="char0"/>
    <w:rPr>
      <w:sz w:val="20"/>
      <w:szCs w:val="20"/>
    </w:rPr>
  </w:style>
  <w:style w:type="character" w:styleId="char7">
    <w:name w:val="Footnote Reference"/>
    <w:basedOn w:val="char0"/>
    <w:rPr>
      <w:vertAlign w:val="superscript"/>
    </w:rPr>
  </w:style>
  <w:style w:type="character" w:styleId="char8" w:customStyle="1">
    <w:name w:val="annotation reference"/>
    <w:basedOn w:val="char0"/>
    <w:rPr>
      <w:sz w:val="16"/>
      <w:szCs w:val="16"/>
    </w:rPr>
  </w:style>
  <w:style w:type="character" w:styleId="char9" w:customStyle="1">
    <w:name w:val="Text comentariu Caracter"/>
    <w:basedOn w:val="char0"/>
    <w:rPr>
      <w:sz w:val="20"/>
      <w:szCs w:val="20"/>
    </w:rPr>
  </w:style>
  <w:style w:type="character" w:styleId="char10" w:customStyle="1">
    <w:name w:val="Subiect Comentariu Caracter"/>
    <w:basedOn w:val="char9"/>
    <w:rPr>
      <w:b/>
      <w:bCs/>
      <w:sz w:val="20"/>
      <w:szCs w:val="20"/>
    </w:rPr>
  </w:style>
  <w:style w:type="character" w:styleId="char11" w:customStyle="1">
    <w:name w:val="Text în Balon Caracter"/>
    <w:basedOn w:val="char0"/>
    <w:rPr>
      <w:rFonts w:ascii="Segoe UI" w:hAnsi="Segoe UI" w:cs="Segoe UI"/>
      <w:sz w:val="18"/>
      <w:szCs w:val="18"/>
    </w:rPr>
  </w:style>
  <w:style w:type="character" w:styleId="char12">
    <w:name w:val="FollowedHyperlink"/>
    <w:basedOn w:val="char0"/>
    <w:rPr>
      <w:color w:val="954f72"/>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Alexandru Blidaru</dc:creator>
  <cp:keywords/>
  <dc:description/>
  <cp:lastModifiedBy/>
  <cp:revision>6</cp:revision>
  <dcterms:created xsi:type="dcterms:W3CDTF">2025-04-10T05:23:00Z</dcterms:created>
  <dcterms:modified xsi:type="dcterms:W3CDTF">2026-02-17T10:58:56Z</dcterms:modified>
</cp:coreProperties>
</file>